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090011">
      <w:pPr>
        <w:pStyle w:val="Header"/>
        <w:tabs>
          <w:tab w:val="clear" w:pos="4320"/>
          <w:tab w:val="clear" w:pos="8640"/>
        </w:tabs>
        <w:jc w:val="center"/>
        <w:rPr>
          <w:rFonts w:ascii="Times New Roman" w:hAnsi="Times New Roman"/>
          <w:szCs w:val="24"/>
        </w:rPr>
      </w:pPr>
      <w:r w:rsidRPr="00E97F03">
        <w:rPr>
          <w:rFonts w:ascii="Times New Roman" w:hAnsi="Times New Roman"/>
          <w:szCs w:val="24"/>
        </w:rPr>
        <w:t xml:space="preserve">UNIVERSITY OF </w:t>
      </w:r>
      <w:smartTag w:uri="urn:schemas-microsoft-com:office:smarttags" w:element="PlaceName">
        <w:r w:rsidRPr="00E97F03">
          <w:rPr>
            <w:rFonts w:ascii="Times New Roman" w:hAnsi="Times New Roman"/>
            <w:szCs w:val="24"/>
          </w:rPr>
          <w:t>FLORIDA</w:t>
        </w:r>
      </w:smartTag>
    </w:p>
    <w:p w:rsidR="00BA3329" w:rsidRPr="00E97F03" w:rsidRDefault="00BA3329" w:rsidP="00090011">
      <w:pPr>
        <w:jc w:val="center"/>
        <w:rPr>
          <w:rFonts w:ascii="Times New Roman" w:hAnsi="Times New Roman"/>
          <w:szCs w:val="24"/>
        </w:rPr>
      </w:pPr>
      <w:r w:rsidRPr="00E97F03">
        <w:rPr>
          <w:rFonts w:ascii="Times New Roman" w:hAnsi="Times New Roman"/>
          <w:szCs w:val="24"/>
        </w:rPr>
        <w:t xml:space="preserve">COLLEGE OF </w:t>
      </w:r>
      <w:smartTag w:uri="urn:schemas-microsoft-com:office:smarttags" w:element="PlaceName">
        <w:r w:rsidRPr="00E97F03">
          <w:rPr>
            <w:rFonts w:ascii="Times New Roman" w:hAnsi="Times New Roman"/>
            <w:szCs w:val="24"/>
          </w:rPr>
          <w:t>NURSING</w:t>
        </w:r>
      </w:smartTag>
    </w:p>
    <w:p w:rsidR="00BA3329" w:rsidRPr="00E97F03" w:rsidRDefault="00BA3329" w:rsidP="00090011">
      <w:pPr>
        <w:jc w:val="center"/>
        <w:rPr>
          <w:rFonts w:ascii="Times New Roman" w:hAnsi="Times New Roman"/>
          <w:szCs w:val="24"/>
        </w:rPr>
      </w:pPr>
      <w:r w:rsidRPr="00E97F03">
        <w:rPr>
          <w:rFonts w:ascii="Times New Roman" w:hAnsi="Times New Roman"/>
          <w:szCs w:val="24"/>
        </w:rPr>
        <w:t xml:space="preserve">COURSE </w:t>
      </w:r>
      <w:r w:rsidR="00B90334" w:rsidRPr="00E97F03">
        <w:rPr>
          <w:rFonts w:ascii="Times New Roman" w:hAnsi="Times New Roman"/>
          <w:szCs w:val="24"/>
        </w:rPr>
        <w:t>SYLLABUS</w:t>
      </w:r>
    </w:p>
    <w:p w:rsidR="00BA3329" w:rsidRPr="00E97F03" w:rsidRDefault="009C549E" w:rsidP="00090011">
      <w:pPr>
        <w:jc w:val="center"/>
        <w:rPr>
          <w:rFonts w:ascii="Times New Roman" w:hAnsi="Times New Roman"/>
          <w:szCs w:val="24"/>
        </w:rPr>
      </w:pPr>
      <w:r>
        <w:rPr>
          <w:rFonts w:ascii="Times New Roman" w:hAnsi="Times New Roman"/>
          <w:szCs w:val="24"/>
        </w:rPr>
        <w:t>SPRING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090011">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NUMBER</w:t>
      </w:r>
      <w:r w:rsidR="00090011">
        <w:rPr>
          <w:rFonts w:ascii="Times New Roman" w:hAnsi="Times New Roman"/>
          <w:szCs w:val="24"/>
        </w:rPr>
        <w:tab/>
      </w:r>
      <w:r w:rsidR="006B1DBB">
        <w:rPr>
          <w:rFonts w:ascii="Times New Roman" w:hAnsi="Times New Roman"/>
          <w:szCs w:val="24"/>
        </w:rPr>
        <w:t>NGR 6172</w:t>
      </w:r>
    </w:p>
    <w:p w:rsidR="00BA3329" w:rsidRPr="00E97F03" w:rsidRDefault="00BA3329" w:rsidP="00090011">
      <w:pPr>
        <w:tabs>
          <w:tab w:val="left" w:pos="-1440"/>
          <w:tab w:val="left" w:pos="-720"/>
          <w:tab w:val="left" w:pos="2880"/>
        </w:tabs>
        <w:rPr>
          <w:rFonts w:ascii="Times New Roman" w:hAnsi="Times New Roman"/>
          <w:szCs w:val="24"/>
          <w:u w:val="single"/>
        </w:rPr>
      </w:pPr>
    </w:p>
    <w:p w:rsidR="00BA3329" w:rsidRPr="00E97F03" w:rsidRDefault="00BA3329" w:rsidP="00090011">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6B1DBB">
        <w:rPr>
          <w:rFonts w:ascii="Times New Roman" w:hAnsi="Times New Roman"/>
          <w:szCs w:val="24"/>
        </w:rPr>
        <w:tab/>
        <w:t>Pharmacotherapeutics for Advanced Practice Nursing</w:t>
      </w:r>
      <w:r w:rsidRPr="00E97F03">
        <w:rPr>
          <w:rFonts w:ascii="Times New Roman" w:hAnsi="Times New Roman"/>
          <w:szCs w:val="24"/>
        </w:rPr>
        <w:tab/>
      </w:r>
      <w:r w:rsidR="009F2D04">
        <w:rPr>
          <w:rFonts w:ascii="Times New Roman" w:hAnsi="Times New Roman"/>
          <w:szCs w:val="24"/>
        </w:rPr>
        <w:t xml:space="preserve"> </w:t>
      </w:r>
    </w:p>
    <w:p w:rsidR="00BA3329" w:rsidRPr="00E97F03" w:rsidRDefault="00BA3329" w:rsidP="00090011">
      <w:pPr>
        <w:tabs>
          <w:tab w:val="left" w:pos="-1440"/>
          <w:tab w:val="left" w:pos="-720"/>
          <w:tab w:val="left" w:pos="2880"/>
        </w:tabs>
        <w:rPr>
          <w:rFonts w:ascii="Times New Roman" w:hAnsi="Times New Roman"/>
          <w:szCs w:val="24"/>
          <w:u w:val="single"/>
        </w:rPr>
      </w:pPr>
    </w:p>
    <w:p w:rsidR="00BA3329" w:rsidRPr="00E97F03" w:rsidRDefault="00BA3329" w:rsidP="00090011">
      <w:pPr>
        <w:tabs>
          <w:tab w:val="left" w:pos="-1440"/>
          <w:tab w:val="left" w:pos="-720"/>
          <w:tab w:val="left" w:pos="2880"/>
        </w:tabs>
        <w:rPr>
          <w:rFonts w:ascii="Times New Roman" w:hAnsi="Times New Roman"/>
          <w:szCs w:val="24"/>
        </w:rPr>
      </w:pPr>
      <w:r w:rsidRPr="00E97F03">
        <w:rPr>
          <w:rFonts w:ascii="Times New Roman" w:hAnsi="Times New Roman"/>
          <w:szCs w:val="24"/>
          <w:u w:val="single"/>
        </w:rPr>
        <w:t>CREDITS</w:t>
      </w:r>
      <w:r w:rsidR="00090011">
        <w:rPr>
          <w:rFonts w:ascii="Times New Roman" w:hAnsi="Times New Roman"/>
          <w:szCs w:val="24"/>
        </w:rPr>
        <w:tab/>
      </w:r>
      <w:r w:rsidR="006B1DBB">
        <w:rPr>
          <w:rFonts w:ascii="Times New Roman" w:hAnsi="Times New Roman"/>
          <w:szCs w:val="24"/>
        </w:rPr>
        <w:t>4</w:t>
      </w:r>
    </w:p>
    <w:p w:rsidR="00BA3329" w:rsidRPr="00E97F03" w:rsidRDefault="00BA3329" w:rsidP="00090011">
      <w:pPr>
        <w:tabs>
          <w:tab w:val="left" w:pos="-1440"/>
          <w:tab w:val="left" w:pos="-720"/>
          <w:tab w:val="left" w:pos="2880"/>
        </w:tabs>
        <w:rPr>
          <w:rFonts w:ascii="Times New Roman" w:hAnsi="Times New Roman"/>
          <w:szCs w:val="24"/>
        </w:rPr>
      </w:pPr>
    </w:p>
    <w:p w:rsidR="00BA3329" w:rsidRPr="00E97F03" w:rsidRDefault="00BA3329" w:rsidP="00090011">
      <w:pPr>
        <w:tabs>
          <w:tab w:val="left" w:pos="-1440"/>
          <w:tab w:val="left" w:pos="-720"/>
          <w:tab w:val="left" w:pos="288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6B1DBB">
        <w:rPr>
          <w:rFonts w:ascii="Times New Roman" w:hAnsi="Times New Roman"/>
          <w:szCs w:val="24"/>
        </w:rPr>
        <w:t>Variable</w:t>
      </w:r>
    </w:p>
    <w:p w:rsidR="00BA3329" w:rsidRPr="00E97F03" w:rsidRDefault="00BA3329" w:rsidP="00090011">
      <w:pPr>
        <w:tabs>
          <w:tab w:val="left" w:pos="-1440"/>
          <w:tab w:val="left" w:pos="-720"/>
          <w:tab w:val="left" w:pos="2880"/>
        </w:tabs>
        <w:rPr>
          <w:rFonts w:ascii="Times New Roman" w:hAnsi="Times New Roman"/>
          <w:szCs w:val="24"/>
        </w:rPr>
      </w:pPr>
    </w:p>
    <w:p w:rsidR="0054306A" w:rsidRPr="0054306A" w:rsidRDefault="00BA3329" w:rsidP="00090011">
      <w:pPr>
        <w:tabs>
          <w:tab w:val="left" w:pos="-1440"/>
          <w:tab w:val="left" w:pos="-720"/>
          <w:tab w:val="left" w:pos="288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090011">
        <w:rPr>
          <w:rFonts w:ascii="Times New Roman" w:hAnsi="Times New Roman"/>
          <w:szCs w:val="24"/>
        </w:rPr>
        <w:tab/>
      </w:r>
      <w:r w:rsidR="006B1DBB">
        <w:rPr>
          <w:rFonts w:ascii="Times New Roman" w:hAnsi="Times New Roman"/>
          <w:szCs w:val="24"/>
        </w:rPr>
        <w:t>NGR 6002C, NGR 6140</w:t>
      </w:r>
    </w:p>
    <w:p w:rsidR="0054306A" w:rsidRDefault="0054306A" w:rsidP="00090011">
      <w:pPr>
        <w:tabs>
          <w:tab w:val="left" w:pos="-1440"/>
          <w:tab w:val="left" w:pos="-720"/>
          <w:tab w:val="left" w:pos="2880"/>
        </w:tabs>
        <w:ind w:left="5760" w:hanging="5760"/>
        <w:rPr>
          <w:rFonts w:ascii="Times New Roman" w:hAnsi="Times New Roman"/>
          <w:szCs w:val="24"/>
          <w:u w:val="single"/>
        </w:rPr>
      </w:pPr>
    </w:p>
    <w:p w:rsidR="00BA3329" w:rsidRPr="00E97F03" w:rsidRDefault="00BA3329" w:rsidP="00090011">
      <w:pPr>
        <w:tabs>
          <w:tab w:val="left" w:pos="-1440"/>
          <w:tab w:val="left" w:pos="-720"/>
          <w:tab w:val="left" w:pos="288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090011">
        <w:rPr>
          <w:rFonts w:ascii="Times New Roman" w:hAnsi="Times New Roman"/>
          <w:szCs w:val="24"/>
        </w:rPr>
        <w:t>None</w:t>
      </w:r>
    </w:p>
    <w:p w:rsidR="00BA3329" w:rsidRPr="00E97F03" w:rsidRDefault="00BA3329" w:rsidP="00090011">
      <w:pPr>
        <w:tabs>
          <w:tab w:val="left" w:pos="-1440"/>
          <w:tab w:val="left" w:pos="-720"/>
          <w:tab w:val="left" w:pos="2880"/>
        </w:tabs>
        <w:rPr>
          <w:rFonts w:ascii="Times New Roman" w:hAnsi="Times New Roman"/>
          <w:szCs w:val="24"/>
        </w:rPr>
      </w:pPr>
    </w:p>
    <w:p w:rsidR="002A78F1" w:rsidRPr="003F1686" w:rsidRDefault="002A78F1" w:rsidP="00090011">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Cs w:val="24"/>
        </w:rPr>
      </w:pPr>
      <w:r w:rsidRPr="003F1686">
        <w:rPr>
          <w:rFonts w:ascii="Times New Roman" w:hAnsi="Times New Roman"/>
          <w:sz w:val="24"/>
          <w:szCs w:val="24"/>
        </w:rPr>
        <w:t>FACULTY</w:t>
      </w:r>
      <w:r w:rsidRPr="003F1686">
        <w:rPr>
          <w:rFonts w:ascii="Times New Roman" w:hAnsi="Times New Roman"/>
          <w:sz w:val="24"/>
          <w:szCs w:val="24"/>
          <w:u w:val="none"/>
        </w:rPr>
        <w:tab/>
      </w:r>
      <w:r w:rsidR="006B1DBB">
        <w:rPr>
          <w:rFonts w:ascii="Times New Roman" w:hAnsi="Times New Roman"/>
          <w:sz w:val="24"/>
          <w:szCs w:val="24"/>
          <w:u w:val="none"/>
        </w:rPr>
        <w:t>Kim Curry, PhD, ARNP, Clinical Associate Professor</w:t>
      </w:r>
    </w:p>
    <w:p w:rsidR="009A5A04" w:rsidRPr="00F532F9" w:rsidRDefault="009A5A04" w:rsidP="008C7B33">
      <w:pPr>
        <w:rPr>
          <w:rFonts w:ascii="Times New Roman" w:hAnsi="Times New Roman"/>
          <w:szCs w:val="24"/>
        </w:rPr>
      </w:pPr>
    </w:p>
    <w:p w:rsidR="009C549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6B1DBB">
        <w:rPr>
          <w:rFonts w:ascii="Times New Roman" w:hAnsi="Times New Roman"/>
          <w:szCs w:val="24"/>
        </w:rPr>
        <w:tab/>
        <w:t xml:space="preserve">This course provides the knowledge and skills to assess, diagnose, and pharmacologically manage a client’s common health problems in a safe, high quality, cost-effective manner.   Emphasis is on the development of therapeutic decision-making in drug selection for the client based on health problems, individual variations, and economic considerations.  The focus is on prescriptive practices, client education, and monitoring of the therapeutic response to pharmacologic agents in diverse clients across the lifespan.  </w:t>
      </w:r>
      <w:r w:rsidRPr="00E97F03">
        <w:rPr>
          <w:rFonts w:ascii="Times New Roman" w:hAnsi="Times New Roman"/>
          <w:szCs w:val="24"/>
        </w:rPr>
        <w:tab/>
      </w:r>
    </w:p>
    <w:p w:rsidR="009C549E" w:rsidRDefault="009C549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9C549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This is a challenging and time consuming course with a strong clinical focus.  You will need to devote several hours per week to studying in addition to reviewing all course materials and listening to the lectures.  Please plan carefully to ensure that you can complete the course successfully.</w:t>
      </w:r>
      <w:r w:rsidR="00BA3329" w:rsidRPr="00E97F03">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090D36" w:rsidRPr="00090D36"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COURSE OBJECTIVES</w:t>
      </w:r>
      <w:r w:rsidRPr="00090D36">
        <w:rPr>
          <w:rFonts w:ascii="Times New Roman" w:hAnsi="Times New Roman"/>
          <w:snapToGrid/>
          <w:szCs w:val="24"/>
        </w:rPr>
        <w:tab/>
        <w:t>Upon completion of this course, the student will be able to:</w:t>
      </w:r>
    </w:p>
    <w:p w:rsidR="00090D36" w:rsidRPr="00090D36"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p>
    <w:p w:rsidR="00090D36" w:rsidRPr="00090D36" w:rsidRDefault="00090D36" w:rsidP="00090D36">
      <w:pPr>
        <w:widowControl/>
        <w:numPr>
          <w:ilvl w:val="0"/>
          <w:numId w:val="41"/>
        </w:numPr>
        <w:tabs>
          <w:tab w:val="left" w:pos="-1440"/>
          <w:tab w:val="num"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Apply the principles of pharmacokinetics and pharmacodynamics in selecting medication therapy.</w:t>
      </w:r>
    </w:p>
    <w:p w:rsidR="00090D36" w:rsidRPr="00090D36" w:rsidRDefault="00090D36" w:rsidP="00090D36">
      <w:p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r w:rsidRPr="00090D36">
        <w:rPr>
          <w:rFonts w:ascii="Times New Roman" w:hAnsi="Times New Roman"/>
          <w:snapToGrid/>
          <w:szCs w:val="24"/>
        </w:rPr>
        <w:tab/>
        <w:t>2.</w:t>
      </w:r>
      <w:r w:rsidRPr="00090D36">
        <w:rPr>
          <w:rFonts w:ascii="Times New Roman" w:hAnsi="Times New Roman"/>
          <w:snapToGrid/>
          <w:szCs w:val="24"/>
        </w:rPr>
        <w:tab/>
        <w:t>Analyze the relationship between pharmacologic agents and physiologic/pathologic responses.</w:t>
      </w:r>
      <w:r w:rsidRPr="00090D36">
        <w:rPr>
          <w:rFonts w:ascii="Times New Roman" w:hAnsi="Times New Roman"/>
          <w:snapToGrid/>
          <w:szCs w:val="24"/>
        </w:rPr>
        <w:tab/>
      </w:r>
    </w:p>
    <w:p w:rsidR="00090D36" w:rsidRPr="00090D36" w:rsidRDefault="00090D36" w:rsidP="00090011">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3.</w:t>
      </w:r>
      <w:r w:rsidRPr="00090D36">
        <w:rPr>
          <w:rFonts w:ascii="Times New Roman" w:hAnsi="Times New Roman"/>
          <w:snapToGrid/>
          <w:szCs w:val="24"/>
        </w:rPr>
        <w:tab/>
        <w:t>Compare and contrast pharmacological agents with respect to treatment of individuals with specific acute and chronic health problems across the lifespan.</w:t>
      </w:r>
    </w:p>
    <w:p w:rsidR="00090D36" w:rsidRPr="00090D36" w:rsidRDefault="00090D36" w:rsidP="00090011">
      <w:pPr>
        <w:tabs>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4.</w:t>
      </w:r>
      <w:r w:rsidRPr="00090D36">
        <w:rPr>
          <w:rFonts w:ascii="Times New Roman" w:hAnsi="Times New Roman"/>
          <w:snapToGrid/>
          <w:szCs w:val="24"/>
        </w:rPr>
        <w:tab/>
        <w:t>Select pharmacologic agents for the management of client health problems based on client variations, the problem being managed and cost effectiveness.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Identify actual and potential adverse drug reactions and significant drug interactions.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Develop relevant client education strategies to facilitate client collaboration in treatment and to maximize therapeutic response.</w:t>
      </w:r>
    </w:p>
    <w:p w:rsidR="00090D36" w:rsidRPr="00090D36" w:rsidRDefault="00090D36" w:rsidP="0009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Evaluate the effects of single and multiple drug regimens on client health status and functioning.</w:t>
      </w:r>
    </w:p>
    <w:p w:rsidR="00090D36" w:rsidRPr="00090D36" w:rsidRDefault="00090D36" w:rsidP="0009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p>
    <w:p w:rsidR="00090D36" w:rsidRPr="00090D36" w:rsidRDefault="00090D36" w:rsidP="00090D36">
      <w:pPr>
        <w:widowControl/>
        <w:numPr>
          <w:ilvl w:val="0"/>
          <w:numId w:val="42"/>
        </w:numPr>
        <w:tabs>
          <w:tab w:val="left" w:pos="5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090D36">
        <w:rPr>
          <w:rFonts w:ascii="Times New Roman" w:hAnsi="Times New Roman"/>
          <w:snapToGrid/>
          <w:szCs w:val="24"/>
        </w:rPr>
        <w:t>Evaluate the interactions of nonprescription therapies with prescription therapies.</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8"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9"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090D36" w:rsidRDefault="00090D3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90D36" w:rsidRPr="00090D36" w:rsidRDefault="00090D36"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TOPICAL OUTLINE</w:t>
      </w:r>
    </w:p>
    <w:p w:rsidR="00090D36" w:rsidRPr="00090D36" w:rsidRDefault="00090D36" w:rsidP="00090D36">
      <w:pPr>
        <w:widowControl/>
        <w:numPr>
          <w:ilvl w:val="0"/>
          <w:numId w:val="4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Clinical pharmacokinetics and individualization of drug therapy including absorption, distribution, metabolism and excretion for various client populations</w:t>
      </w:r>
    </w:p>
    <w:p w:rsidR="00090D36" w:rsidRPr="00090D36" w:rsidRDefault="00090D36" w:rsidP="0009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Principles of half-life, effective concentration, peak plasma levels, therapeutic blood levels, and minimal and maximum effective levels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Pharmacodynamics including alterations of cell environment and functions and drug receptor activity </w:t>
      </w:r>
    </w:p>
    <w:p w:rsidR="00090D36" w:rsidRPr="00090D36" w:rsidRDefault="00090D36" w:rsidP="0009001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Pharmacotherapeutic decision-making for common acute and chronic health problems across the lifespan including drug selection, intervention, and monitoring for </w:t>
      </w:r>
    </w:p>
    <w:p w:rsidR="00090D36" w:rsidRPr="00090D36" w:rsidRDefault="00090D36" w:rsidP="00090D36">
      <w:pPr>
        <w:widowControl/>
        <w:numPr>
          <w:ilvl w:val="0"/>
          <w:numId w:val="44"/>
        </w:numPr>
        <w:tabs>
          <w:tab w:val="left" w:pos="-1440"/>
          <w:tab w:val="left" w:pos="108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Immunological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Tissue Defense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Endocrine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Neurological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Hematological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Dermatological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Cardiovascular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Respiratory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Gastrointestinal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Musculoskeletal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lastRenderedPageBreak/>
        <w:t>Genitourinary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Affective and Cognitive Alterations</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 xml:space="preserve">Therapeutic response to pharmacological agents </w:t>
      </w:r>
    </w:p>
    <w:p w:rsidR="00090D36" w:rsidRPr="00090D36" w:rsidRDefault="00090D36" w:rsidP="00090011">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 xml:space="preserve">Adverse drug reactions and appropriate interventions  </w:t>
      </w:r>
    </w:p>
    <w:p w:rsidR="00090D36" w:rsidRPr="00090D36" w:rsidRDefault="00090D36" w:rsidP="0009001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 xml:space="preserve">Drug interactions based on selected drug categories including drug-drug interactions, drug-food interactions, drug-ethanol/tobacco interactions and drug-environmental interactions </w:t>
      </w:r>
    </w:p>
    <w:p w:rsidR="00090D36" w:rsidRPr="00090D36" w:rsidRDefault="00090D36" w:rsidP="0009001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8.</w:t>
      </w:r>
      <w:r w:rsidRPr="00090D36">
        <w:rPr>
          <w:rFonts w:ascii="Times New Roman" w:hAnsi="Times New Roman"/>
          <w:snapToGrid/>
          <w:szCs w:val="24"/>
        </w:rPr>
        <w:tab/>
        <w:t xml:space="preserve">Prescriptive practice and dispensing limitations for advanced practice nurses including writing prescriptions, legal authority and restrictions, ethics, and clinical standards </w:t>
      </w:r>
    </w:p>
    <w:p w:rsidR="00090D36" w:rsidRPr="00090D36" w:rsidRDefault="00090D36" w:rsidP="0009001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9.</w:t>
      </w:r>
      <w:r w:rsidRPr="00090D36">
        <w:rPr>
          <w:rFonts w:ascii="Times New Roman" w:hAnsi="Times New Roman"/>
          <w:snapToGrid/>
          <w:szCs w:val="24"/>
        </w:rPr>
        <w:tab/>
        <w:t xml:space="preserve">Alternative therapies </w:t>
      </w:r>
    </w:p>
    <w:p w:rsidR="00090D36" w:rsidRPr="00090D36" w:rsidRDefault="00090D36" w:rsidP="0009001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10.</w:t>
      </w:r>
      <w:r w:rsidRPr="00090D36">
        <w:rPr>
          <w:rFonts w:ascii="Times New Roman" w:hAnsi="Times New Roman"/>
          <w:snapToGrid/>
          <w:szCs w:val="24"/>
        </w:rPr>
        <w:tab/>
        <w:t xml:space="preserve">Client education and adherence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11.</w:t>
      </w:r>
      <w:r w:rsidRPr="00090D36">
        <w:rPr>
          <w:rFonts w:ascii="Times New Roman" w:hAnsi="Times New Roman"/>
          <w:snapToGrid/>
          <w:szCs w:val="24"/>
        </w:rPr>
        <w:tab/>
        <w:t xml:space="preserve">Economic implications of drug selection and management on client’s lifestyle </w:t>
      </w:r>
    </w:p>
    <w:p w:rsidR="00090D36" w:rsidRPr="00090D36" w:rsidRDefault="00090D36" w:rsidP="0009001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12.</w:t>
      </w:r>
      <w:r w:rsidRPr="00090D36">
        <w:rPr>
          <w:rFonts w:ascii="Times New Roman" w:hAnsi="Times New Roman"/>
          <w:snapToGrid/>
          <w:szCs w:val="24"/>
        </w:rPr>
        <w:tab/>
        <w:t xml:space="preserve">Implications of client's cultural health beliefs and practices on drug selection and monitoring </w:t>
      </w:r>
    </w:p>
    <w:p w:rsidR="00090D36" w:rsidRPr="00090D36" w:rsidRDefault="00090D36" w:rsidP="0009001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13.</w:t>
      </w:r>
      <w:r w:rsidRPr="00090D36">
        <w:rPr>
          <w:rFonts w:ascii="Times New Roman" w:hAnsi="Times New Roman"/>
          <w:snapToGrid/>
          <w:szCs w:val="24"/>
        </w:rPr>
        <w:tab/>
        <w:t xml:space="preserve">Resource utilization </w:t>
      </w:r>
    </w:p>
    <w:p w:rsidR="00090D36" w:rsidRDefault="00090D3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78056D">
        <w:rPr>
          <w:rFonts w:ascii="Times New Roman" w:hAnsi="Times New Roman"/>
          <w:szCs w:val="24"/>
        </w:rPr>
        <w:t>On line lectures</w:t>
      </w:r>
      <w:r w:rsidR="00BA3329" w:rsidRPr="00E97F03">
        <w:rPr>
          <w:rFonts w:ascii="Times New Roman" w:hAnsi="Times New Roman"/>
          <w:szCs w:val="24"/>
        </w:rPr>
        <w:t>, audiovisual materials, written materials, case studies</w:t>
      </w:r>
      <w:r w:rsidR="0078056D">
        <w:rPr>
          <w:rFonts w:ascii="Times New Roman" w:hAnsi="Times New Roman"/>
          <w:szCs w:val="24"/>
        </w:rPr>
        <w:t>, selected readings, and electronic sources</w:t>
      </w:r>
      <w:r w:rsidR="00BA3329"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D3439F" w:rsidRPr="0078056D" w:rsidRDefault="0078056D" w:rsidP="00F532F9">
      <w:pPr>
        <w:widowControl/>
        <w:rPr>
          <w:rFonts w:ascii="Times New Roman" w:hAnsi="Times New Roman"/>
          <w:szCs w:val="24"/>
        </w:rPr>
      </w:pPr>
      <w:r>
        <w:rPr>
          <w:rFonts w:ascii="Times New Roman" w:hAnsi="Times New Roman"/>
          <w:szCs w:val="24"/>
        </w:rPr>
        <w:tab/>
        <w:t>Examinations and written assignments.</w:t>
      </w:r>
      <w:r w:rsidR="007631BC">
        <w:rPr>
          <w:rFonts w:ascii="Times New Roman" w:hAnsi="Times New Roman"/>
          <w:szCs w:val="24"/>
        </w:rPr>
        <w:t xml:space="preserve">  All assignments and exams are submitted electronically.  No hard copy submissions are accepted.</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D3439F" w:rsidRDefault="00D3439F" w:rsidP="00F532F9">
      <w:pPr>
        <w:widowControl/>
        <w:rPr>
          <w:rFonts w:ascii="Times New Roman" w:hAnsi="Times New Roman"/>
          <w:szCs w:val="24"/>
        </w:rPr>
      </w:pPr>
    </w:p>
    <w:p w:rsidR="0005119E" w:rsidRPr="0005119E" w:rsidRDefault="0005119E" w:rsidP="0005119E">
      <w:pPr>
        <w:widowControl/>
        <w:rPr>
          <w:rFonts w:ascii="Times New Roman" w:hAnsi="Times New Roman"/>
          <w:snapToGrid/>
          <w:szCs w:val="24"/>
        </w:rPr>
      </w:pPr>
      <w:r w:rsidRPr="0005119E">
        <w:rPr>
          <w:rFonts w:ascii="Times New Roman" w:hAnsi="Times New Roman"/>
          <w:snapToGrid/>
          <w:szCs w:val="24"/>
        </w:rPr>
        <w:t xml:space="preserve">There will be no make-up exams scheduled for missed exams. If a student </w:t>
      </w:r>
      <w:r>
        <w:rPr>
          <w:rFonts w:ascii="Times New Roman" w:hAnsi="Times New Roman"/>
          <w:snapToGrid/>
          <w:szCs w:val="24"/>
        </w:rPr>
        <w:t xml:space="preserve">must miss an exam, the instructor must be contacted and may elect to </w:t>
      </w:r>
      <w:r w:rsidRPr="0005119E">
        <w:rPr>
          <w:rFonts w:ascii="Times New Roman" w:hAnsi="Times New Roman"/>
          <w:snapToGrid/>
          <w:szCs w:val="24"/>
        </w:rPr>
        <w:t xml:space="preserve">average the remaining exam scores </w:t>
      </w:r>
      <w:r>
        <w:rPr>
          <w:rFonts w:ascii="Times New Roman" w:hAnsi="Times New Roman"/>
          <w:snapToGrid/>
          <w:szCs w:val="24"/>
        </w:rPr>
        <w:t>and record this as</w:t>
      </w:r>
      <w:r w:rsidRPr="0005119E">
        <w:rPr>
          <w:rFonts w:ascii="Times New Roman" w:hAnsi="Times New Roman"/>
          <w:snapToGrid/>
          <w:szCs w:val="24"/>
        </w:rPr>
        <w:t xml:space="preserve"> the score for the missed exam.</w:t>
      </w:r>
      <w:r>
        <w:rPr>
          <w:rFonts w:ascii="Times New Roman" w:hAnsi="Times New Roman"/>
          <w:snapToGrid/>
          <w:szCs w:val="24"/>
        </w:rPr>
        <w:t xml:space="preserve">  Subsequent to the first missed exam, any further missed </w:t>
      </w:r>
      <w:r w:rsidR="009C549E">
        <w:rPr>
          <w:rFonts w:ascii="Times New Roman" w:hAnsi="Times New Roman"/>
          <w:snapToGrid/>
          <w:szCs w:val="24"/>
        </w:rPr>
        <w:t>examination/s</w:t>
      </w:r>
      <w:r>
        <w:rPr>
          <w:rFonts w:ascii="Times New Roman" w:hAnsi="Times New Roman"/>
          <w:snapToGrid/>
          <w:szCs w:val="24"/>
        </w:rPr>
        <w:t xml:space="preserve"> will be scored as zero (0).  Students may not elect to skip any exams.</w:t>
      </w:r>
    </w:p>
    <w:p w:rsidR="0005119E" w:rsidRDefault="0005119E" w:rsidP="00F532F9">
      <w:pPr>
        <w:widowControl/>
        <w:rPr>
          <w:rFonts w:ascii="Times New Roman" w:hAnsi="Times New Roman"/>
          <w:szCs w:val="24"/>
        </w:rPr>
      </w:pPr>
    </w:p>
    <w:p w:rsidR="00090011" w:rsidRDefault="00090011">
      <w:pPr>
        <w:widowControl/>
        <w:rPr>
          <w:rFonts w:ascii="Times New Roman" w:hAnsi="Times New Roman"/>
          <w:szCs w:val="24"/>
          <w:u w:val="single"/>
        </w:rPr>
      </w:pPr>
      <w:r>
        <w:rPr>
          <w:rFonts w:ascii="Times New Roman" w:hAnsi="Times New Roman"/>
          <w:szCs w:val="24"/>
          <w:u w:val="single"/>
        </w:rPr>
        <w:lastRenderedPageBreak/>
        <w:br w:type="page"/>
      </w: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0"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2800" w:rsidRPr="00AA2800" w:rsidRDefault="00AA2800" w:rsidP="00AA2800">
      <w:pPr>
        <w:widowControl/>
        <w:ind w:left="720" w:hanging="720"/>
        <w:rPr>
          <w:rFonts w:ascii="Times New Roman" w:hAnsi="Times New Roman"/>
          <w:bCs/>
          <w:snapToGrid/>
          <w:szCs w:val="24"/>
        </w:rPr>
      </w:pPr>
      <w:r w:rsidRPr="00AA2800">
        <w:rPr>
          <w:rFonts w:ascii="Times New Roman" w:hAnsi="Times New Roman"/>
          <w:snapToGrid/>
          <w:szCs w:val="24"/>
        </w:rPr>
        <w:t xml:space="preserve">1. Edmunds M, and Mayhew M (2013).   </w:t>
      </w:r>
      <w:r w:rsidRPr="00AA2800">
        <w:rPr>
          <w:rFonts w:ascii="Times New Roman" w:hAnsi="Times New Roman"/>
          <w:i/>
          <w:snapToGrid/>
          <w:szCs w:val="24"/>
        </w:rPr>
        <w:t>Pharmacology for the Primary Care Provider</w:t>
      </w:r>
      <w:r w:rsidRPr="00AA2800">
        <w:rPr>
          <w:rFonts w:ascii="Times New Roman" w:hAnsi="Times New Roman"/>
          <w:snapToGrid/>
          <w:szCs w:val="24"/>
        </w:rPr>
        <w:t>, 4</w:t>
      </w:r>
      <w:r w:rsidRPr="00AA2800">
        <w:rPr>
          <w:rFonts w:ascii="Times New Roman" w:hAnsi="Times New Roman"/>
          <w:snapToGrid/>
          <w:szCs w:val="24"/>
          <w:vertAlign w:val="superscript"/>
        </w:rPr>
        <w:t>th</w:t>
      </w:r>
      <w:r w:rsidRPr="00AA2800">
        <w:rPr>
          <w:rFonts w:ascii="Times New Roman" w:hAnsi="Times New Roman"/>
          <w:snapToGrid/>
          <w:szCs w:val="24"/>
        </w:rPr>
        <w:t xml:space="preserve"> ed.</w:t>
      </w:r>
      <w:r w:rsidR="007107F9">
        <w:rPr>
          <w:rFonts w:ascii="Times New Roman" w:hAnsi="Times New Roman"/>
          <w:snapToGrid/>
          <w:szCs w:val="24"/>
        </w:rPr>
        <w:t xml:space="preserve">  </w:t>
      </w:r>
      <w:r w:rsidRPr="00AA2800">
        <w:rPr>
          <w:rFonts w:ascii="Times New Roman" w:hAnsi="Times New Roman"/>
          <w:bCs/>
          <w:snapToGrid/>
          <w:szCs w:val="24"/>
        </w:rPr>
        <w:t xml:space="preserve">ISBN  </w:t>
      </w:r>
      <w:r w:rsidRPr="00AA2800">
        <w:rPr>
          <w:rFonts w:ascii="Times New Roman" w:hAnsi="Times New Roman"/>
          <w:snapToGrid/>
          <w:szCs w:val="24"/>
        </w:rPr>
        <w:t>9780323087902.</w:t>
      </w:r>
      <w:r w:rsidRPr="00AA2800">
        <w:rPr>
          <w:rFonts w:ascii="Calibri" w:hAnsi="Calibri"/>
          <w:snapToGrid/>
          <w:color w:val="1F497D"/>
          <w:sz w:val="22"/>
          <w:szCs w:val="22"/>
        </w:rPr>
        <w:t xml:space="preserve">  </w:t>
      </w:r>
      <w:r w:rsidRPr="00AA2800">
        <w:rPr>
          <w:rFonts w:ascii="Times New Roman" w:hAnsi="Times New Roman"/>
          <w:bCs/>
          <w:snapToGrid/>
          <w:szCs w:val="24"/>
        </w:rPr>
        <w:t>St. Louis, MO: Elsevier.</w:t>
      </w:r>
      <w:r>
        <w:rPr>
          <w:rFonts w:ascii="Times New Roman" w:hAnsi="Times New Roman"/>
          <w:bCs/>
          <w:snapToGrid/>
          <w:szCs w:val="24"/>
        </w:rPr>
        <w:t xml:space="preserve">  Be sure to purchase the second printing of the 4</w:t>
      </w:r>
      <w:r w:rsidRPr="00AA2800">
        <w:rPr>
          <w:rFonts w:ascii="Times New Roman" w:hAnsi="Times New Roman"/>
          <w:bCs/>
          <w:snapToGrid/>
          <w:szCs w:val="24"/>
          <w:vertAlign w:val="superscript"/>
        </w:rPr>
        <w:t>th</w:t>
      </w:r>
      <w:r>
        <w:rPr>
          <w:rFonts w:ascii="Times New Roman" w:hAnsi="Times New Roman"/>
          <w:bCs/>
          <w:snapToGrid/>
          <w:szCs w:val="24"/>
        </w:rPr>
        <w:t xml:space="preserve"> edition as it contains corrections to the text.  Look on the copyright page at the bottom for a statement “Last digit is the print number”  and be sure that the last digit is a “2” and not a “1”.  </w:t>
      </w:r>
    </w:p>
    <w:p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2. Required electronic source: Clinical Pharmacology onli</w:t>
      </w:r>
      <w:r w:rsidR="007107F9">
        <w:rPr>
          <w:rFonts w:ascii="Times New Roman" w:hAnsi="Times New Roman"/>
          <w:bCs/>
          <w:snapToGrid/>
          <w:szCs w:val="24"/>
        </w:rPr>
        <w:t xml:space="preserve">ne, accessed via the Health </w:t>
      </w:r>
      <w:r w:rsidRPr="00AA2800">
        <w:rPr>
          <w:rFonts w:ascii="Times New Roman" w:hAnsi="Times New Roman"/>
          <w:bCs/>
          <w:snapToGrid/>
          <w:szCs w:val="24"/>
        </w:rPr>
        <w:t xml:space="preserve">Science Center Website.  </w:t>
      </w:r>
    </w:p>
    <w:p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3. Reading assignments also consist of web links and other supplemental materials.</w:t>
      </w:r>
      <w:r>
        <w:rPr>
          <w:rFonts w:ascii="Times New Roman" w:hAnsi="Times New Roman"/>
          <w:bCs/>
          <w:snapToGrid/>
          <w:szCs w:val="24"/>
        </w:rPr>
        <w:t xml:space="preserve">  </w:t>
      </w:r>
      <w:r w:rsidRPr="00AA2800">
        <w:rPr>
          <w:rFonts w:ascii="Times New Roman" w:hAnsi="Times New Roman"/>
          <w:bCs/>
          <w:snapToGrid/>
          <w:szCs w:val="24"/>
        </w:rPr>
        <w:t xml:space="preserve">These are available on the course </w:t>
      </w:r>
      <w:r>
        <w:rPr>
          <w:rFonts w:ascii="Times New Roman" w:hAnsi="Times New Roman"/>
          <w:bCs/>
          <w:snapToGrid/>
          <w:szCs w:val="24"/>
        </w:rPr>
        <w:t>web site</w:t>
      </w:r>
      <w:r w:rsidRPr="00AA2800">
        <w:rPr>
          <w:rFonts w:ascii="Times New Roman" w:hAnsi="Times New Roman"/>
          <w:bCs/>
          <w:snapToGrid/>
          <w:szCs w:val="24"/>
        </w:rPr>
        <w:t xml:space="preserve"> for each week.  Be</w:t>
      </w:r>
      <w:r>
        <w:rPr>
          <w:rFonts w:ascii="Times New Roman" w:hAnsi="Times New Roman"/>
          <w:bCs/>
          <w:snapToGrid/>
          <w:szCs w:val="24"/>
        </w:rPr>
        <w:t xml:space="preserve"> </w:t>
      </w:r>
      <w:r w:rsidRPr="00AA2800">
        <w:rPr>
          <w:rFonts w:ascii="Times New Roman" w:hAnsi="Times New Roman"/>
          <w:bCs/>
          <w:snapToGrid/>
          <w:szCs w:val="24"/>
        </w:rPr>
        <w:t xml:space="preserve">sure to study these materials in addition to your text and pharmacology database.    </w:t>
      </w:r>
    </w:p>
    <w:p w:rsidR="00AA2800" w:rsidRDefault="00AA280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860CFA" w:rsidRDefault="00860CFA" w:rsidP="00806F86">
      <w:pPr>
        <w:rPr>
          <w:rFonts w:ascii="Times New Roman" w:hAnsi="Times New Roman"/>
          <w:szCs w:val="24"/>
          <w:u w:val="single"/>
        </w:rPr>
      </w:pPr>
    </w:p>
    <w:p w:rsidR="00AA2800" w:rsidRPr="00AA2800" w:rsidRDefault="00AA2800" w:rsidP="00AA2800">
      <w:pPr>
        <w:widowControl/>
        <w:rPr>
          <w:rFonts w:ascii="Times New Roman" w:hAnsi="Times New Roman"/>
          <w:snapToGrid/>
          <w:szCs w:val="24"/>
        </w:rPr>
      </w:pPr>
      <w:r w:rsidRPr="00AA2800">
        <w:rPr>
          <w:rFonts w:ascii="Times New Roman" w:hAnsi="Times New Roman"/>
          <w:snapToGrid/>
          <w:szCs w:val="24"/>
        </w:rPr>
        <w:t xml:space="preserve">The student’s current advanced health assessment text </w:t>
      </w:r>
      <w:r>
        <w:rPr>
          <w:rFonts w:ascii="Times New Roman" w:hAnsi="Times New Roman"/>
          <w:snapToGrid/>
          <w:szCs w:val="24"/>
        </w:rPr>
        <w:t xml:space="preserve">and pathophysiology text </w:t>
      </w:r>
      <w:r w:rsidRPr="00AA2800">
        <w:rPr>
          <w:rFonts w:ascii="Times New Roman" w:hAnsi="Times New Roman"/>
          <w:snapToGrid/>
          <w:szCs w:val="24"/>
        </w:rPr>
        <w:t xml:space="preserve">may be </w:t>
      </w:r>
      <w:r>
        <w:rPr>
          <w:rFonts w:ascii="Times New Roman" w:hAnsi="Times New Roman"/>
          <w:snapToGrid/>
          <w:szCs w:val="24"/>
        </w:rPr>
        <w:t>r</w:t>
      </w:r>
      <w:r w:rsidRPr="00AA2800">
        <w:rPr>
          <w:rFonts w:ascii="Times New Roman" w:hAnsi="Times New Roman"/>
          <w:snapToGrid/>
          <w:szCs w:val="24"/>
        </w:rPr>
        <w:t>eference</w:t>
      </w:r>
      <w:r>
        <w:rPr>
          <w:rFonts w:ascii="Times New Roman" w:hAnsi="Times New Roman"/>
          <w:snapToGrid/>
          <w:szCs w:val="24"/>
        </w:rPr>
        <w:t>d if needed</w:t>
      </w:r>
      <w:r w:rsidRPr="00AA2800">
        <w:rPr>
          <w:rFonts w:ascii="Times New Roman" w:hAnsi="Times New Roman"/>
          <w:snapToGrid/>
          <w:szCs w:val="24"/>
        </w:rPr>
        <w:t>.</w:t>
      </w:r>
    </w:p>
    <w:p w:rsidR="0016461D" w:rsidRDefault="0016461D"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lastRenderedPageBreak/>
        <w:t xml:space="preserve">WEEKLY CLASS SCHEDULE </w:t>
      </w:r>
    </w:p>
    <w:p w:rsidR="0056789B" w:rsidRDefault="0056789B" w:rsidP="00806F86">
      <w:pPr>
        <w:rPr>
          <w:rFonts w:ascii="Times New Roman" w:hAnsi="Times New Roman"/>
          <w:szCs w:val="24"/>
        </w:rPr>
      </w:pPr>
    </w:p>
    <w:tbl>
      <w:tblPr>
        <w:tblW w:w="9569" w:type="dxa"/>
        <w:tblCellSpacing w:w="1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1"/>
        <w:gridCol w:w="3330"/>
        <w:gridCol w:w="3568"/>
      </w:tblGrid>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b/>
                <w:bCs/>
                <w:snapToGrid/>
                <w:szCs w:val="24"/>
              </w:rPr>
              <w:t>Date</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b/>
                <w:bCs/>
                <w:snapToGrid/>
                <w:szCs w:val="24"/>
              </w:rPr>
              <w:t>Topic</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tabs>
                <w:tab w:val="left" w:pos="1380"/>
              </w:tabs>
              <w:rPr>
                <w:rFonts w:ascii="Times New Roman" w:hAnsi="Times New Roman"/>
                <w:b/>
                <w:bCs/>
                <w:snapToGrid/>
                <w:szCs w:val="24"/>
              </w:rPr>
            </w:pPr>
            <w:smartTag w:uri="urn:schemas-microsoft-com:office:smarttags" w:element="PlaceName">
              <w:smartTag w:uri="urn:schemas-microsoft-com:office:smarttags" w:element="PlaceType">
                <w:r w:rsidRPr="00724490">
                  <w:rPr>
                    <w:rFonts w:ascii="Times New Roman" w:hAnsi="Times New Roman"/>
                    <w:b/>
                    <w:bCs/>
                    <w:snapToGrid/>
                    <w:szCs w:val="24"/>
                  </w:rPr>
                  <w:t>Readings</w:t>
                </w:r>
              </w:smartTag>
            </w:smartTag>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January 8th </w:t>
            </w:r>
          </w:p>
          <w:p w:rsidR="00724490" w:rsidRPr="00724490" w:rsidRDefault="00724490" w:rsidP="00724490">
            <w:pPr>
              <w:widowControl/>
              <w:rPr>
                <w:rFonts w:ascii="Times New Roman" w:hAnsi="Times New Roman"/>
                <w:b/>
                <w:snapToGrid/>
                <w:color w:val="FF0000"/>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 xml:space="preserve">Introduction to pharmacology &amp; Prescription writing </w:t>
            </w:r>
          </w:p>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Pharmacokinetics &amp; Pharmacodynamics</w:t>
            </w:r>
          </w:p>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Special Populations</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tabs>
                <w:tab w:val="left" w:pos="1380"/>
              </w:tabs>
              <w:rPr>
                <w:rFonts w:ascii="Times New Roman" w:hAnsi="Times New Roman"/>
                <w:snapToGrid/>
                <w:szCs w:val="24"/>
              </w:rPr>
            </w:pPr>
            <w:r w:rsidRPr="00724490">
              <w:rPr>
                <w:rFonts w:ascii="Times New Roman" w:hAnsi="Times New Roman"/>
                <w:snapToGrid/>
                <w:szCs w:val="24"/>
              </w:rPr>
              <w:t>Units 1 and 2: all</w:t>
            </w:r>
          </w:p>
          <w:p w:rsidR="00724490" w:rsidRPr="00724490" w:rsidRDefault="00724490" w:rsidP="00724490">
            <w:pPr>
              <w:widowControl/>
              <w:tabs>
                <w:tab w:val="left" w:pos="1380"/>
              </w:tabs>
              <w:rPr>
                <w:rFonts w:ascii="Times New Roman" w:hAnsi="Times New Roman"/>
                <w:snapToGrid/>
                <w:szCs w:val="24"/>
              </w:rPr>
            </w:pPr>
            <w:r w:rsidRPr="00724490">
              <w:rPr>
                <w:rFonts w:ascii="Times New Roman" w:hAnsi="Times New Roman"/>
                <w:snapToGrid/>
                <w:szCs w:val="24"/>
              </w:rPr>
              <w:t>Unit 3: Chapter 10</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2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January 15th</w:t>
            </w:r>
          </w:p>
          <w:p w:rsidR="00724490" w:rsidRPr="00724490" w:rsidRDefault="00843F5D" w:rsidP="00724490">
            <w:pPr>
              <w:widowControl/>
              <w:rPr>
                <w:rFonts w:ascii="Times New Roman" w:hAnsi="Times New Roman"/>
                <w:b/>
                <w:bCs/>
                <w:snapToGrid/>
                <w:color w:val="FF0000"/>
                <w:szCs w:val="24"/>
              </w:rPr>
            </w:pPr>
            <w:r>
              <w:rPr>
                <w:rFonts w:ascii="Times New Roman" w:hAnsi="Times New Roman"/>
                <w:b/>
                <w:snapToGrid/>
                <w:color w:val="FF0000"/>
                <w:szCs w:val="24"/>
              </w:rPr>
              <w:t>Case</w:t>
            </w:r>
            <w:r w:rsidR="00724490" w:rsidRPr="00724490">
              <w:rPr>
                <w:rFonts w:ascii="Times New Roman" w:hAnsi="Times New Roman"/>
                <w:b/>
                <w:snapToGrid/>
                <w:color w:val="FF0000"/>
                <w:szCs w:val="24"/>
              </w:rPr>
              <w:t xml:space="preserve"> #1 due</w:t>
            </w:r>
            <w:r>
              <w:rPr>
                <w:rFonts w:ascii="Times New Roman" w:hAnsi="Times New Roman"/>
                <w:b/>
                <w:snapToGrid/>
                <w:color w:val="FF0000"/>
                <w:szCs w:val="24"/>
              </w:rPr>
              <w:t>: prescription writing</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Respiratory Agents</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5: all</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3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January 22rd</w:t>
            </w:r>
          </w:p>
          <w:p w:rsidR="00724490" w:rsidRPr="00724490" w:rsidRDefault="00724490" w:rsidP="00724490">
            <w:pPr>
              <w:widowControl/>
              <w:rPr>
                <w:rFonts w:ascii="Times New Roman" w:hAnsi="Times New Roman"/>
                <w:b/>
                <w:snapToGrid/>
                <w:color w:val="FF0000"/>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 xml:space="preserve">Antibiotics </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14: all</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4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January 29</w:t>
            </w:r>
            <w:r w:rsidRPr="00724490">
              <w:rPr>
                <w:rFonts w:ascii="Times New Roman" w:hAnsi="Times New Roman"/>
                <w:snapToGrid/>
                <w:szCs w:val="24"/>
                <w:vertAlign w:val="superscript"/>
              </w:rPr>
              <w:t>th</w:t>
            </w:r>
          </w:p>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Live exam review 7 pm</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Dermatology/topical agents</w:t>
            </w:r>
          </w:p>
          <w:p w:rsidR="00724490" w:rsidRPr="00724490" w:rsidRDefault="00724490" w:rsidP="00724490">
            <w:pPr>
              <w:widowControl/>
              <w:spacing w:before="100" w:beforeAutospacing="1" w:after="100" w:afterAutospacing="1"/>
              <w:rPr>
                <w:rFonts w:ascii="Times New Roman" w:hAnsi="Times New Roman"/>
                <w:b/>
                <w:snapToGrid/>
                <w:color w:val="FF0000"/>
                <w:szCs w:val="24"/>
              </w:rPr>
            </w:pP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4: all</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5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February 5</w:t>
            </w:r>
            <w:r w:rsidRPr="00724490">
              <w:rPr>
                <w:rFonts w:ascii="Times New Roman" w:hAnsi="Times New Roman"/>
                <w:snapToGrid/>
                <w:szCs w:val="24"/>
                <w:vertAlign w:val="superscript"/>
              </w:rPr>
              <w:t>th</w:t>
            </w:r>
          </w:p>
          <w:p w:rsidR="00724490" w:rsidRPr="00724490" w:rsidRDefault="00724490" w:rsidP="00724490">
            <w:pPr>
              <w:widowControl/>
              <w:rPr>
                <w:rFonts w:ascii="Times New Roman" w:hAnsi="Times New Roman"/>
                <w:snapToGrid/>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b/>
                <w:snapToGrid/>
                <w:color w:val="FF0000"/>
                <w:szCs w:val="24"/>
              </w:rPr>
              <w:t>Exam #1 Week 2-4</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Exam available from 8am-10pm</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6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February 12</w:t>
            </w:r>
            <w:r w:rsidRPr="00724490">
              <w:rPr>
                <w:rFonts w:ascii="Times New Roman" w:hAnsi="Times New Roman"/>
                <w:snapToGrid/>
                <w:szCs w:val="24"/>
                <w:vertAlign w:val="superscript"/>
              </w:rPr>
              <w:t>th</w:t>
            </w:r>
          </w:p>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Case #2 due</w:t>
            </w:r>
            <w:r w:rsidR="0016461D" w:rsidRPr="0016461D">
              <w:rPr>
                <w:rFonts w:ascii="Times New Roman" w:hAnsi="Times New Roman"/>
                <w:b/>
                <w:snapToGrid/>
                <w:color w:val="FF0000"/>
                <w:szCs w:val="24"/>
              </w:rPr>
              <w:t>: D</w:t>
            </w:r>
            <w:r w:rsidR="00843F5D" w:rsidRPr="0016461D">
              <w:rPr>
                <w:rFonts w:ascii="Times New Roman" w:hAnsi="Times New Roman"/>
                <w:b/>
                <w:snapToGrid/>
                <w:color w:val="FF0000"/>
                <w:szCs w:val="24"/>
              </w:rPr>
              <w:t>yslipidemia</w:t>
            </w:r>
          </w:p>
          <w:p w:rsidR="00724490" w:rsidRPr="00724490" w:rsidRDefault="00724490" w:rsidP="00724490">
            <w:pPr>
              <w:widowControl/>
              <w:rPr>
                <w:rFonts w:ascii="Times New Roman" w:hAnsi="Times New Roman"/>
                <w:b/>
                <w:snapToGrid/>
                <w:color w:val="FF0000"/>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Lipid medications</w:t>
            </w:r>
          </w:p>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Dysrhthmias</w:t>
            </w:r>
          </w:p>
          <w:p w:rsidR="00724490" w:rsidRPr="00724490" w:rsidRDefault="00724490" w:rsidP="00724490">
            <w:pPr>
              <w:widowControl/>
              <w:rPr>
                <w:rFonts w:ascii="Times New Roman" w:hAnsi="Times New Roman"/>
                <w:snapToGrid/>
                <w:szCs w:val="24"/>
                <w:highlight w:val="yellow"/>
              </w:rPr>
            </w:pPr>
            <w:r w:rsidRPr="00724490">
              <w:rPr>
                <w:rFonts w:ascii="Times New Roman" w:hAnsi="Times New Roman"/>
                <w:snapToGrid/>
                <w:szCs w:val="24"/>
              </w:rPr>
              <w:t>Anticoagulants</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6: Chapters 23, 24, 25</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Week 7</w:t>
            </w:r>
          </w:p>
          <w:p w:rsidR="00724490" w:rsidRPr="00724490" w:rsidRDefault="00724490" w:rsidP="00724490">
            <w:pPr>
              <w:widowControl/>
              <w:rPr>
                <w:rFonts w:ascii="Times New Roman" w:hAnsi="Times New Roman"/>
                <w:snapToGrid/>
                <w:szCs w:val="24"/>
              </w:rPr>
            </w:pPr>
            <w:r>
              <w:rPr>
                <w:rFonts w:ascii="Times New Roman" w:hAnsi="Times New Roman"/>
                <w:snapToGrid/>
                <w:szCs w:val="24"/>
              </w:rPr>
              <w:t>February 19</w:t>
            </w:r>
            <w:r w:rsidRPr="00724490">
              <w:rPr>
                <w:rFonts w:ascii="Times New Roman" w:hAnsi="Times New Roman"/>
                <w:snapToGrid/>
                <w:szCs w:val="24"/>
              </w:rPr>
              <w:t>th</w:t>
            </w:r>
          </w:p>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Live exam review 7 pm</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Cardiovascular/Diuretics/CHF</w:t>
            </w:r>
          </w:p>
          <w:p w:rsidR="00724490" w:rsidRPr="00724490" w:rsidRDefault="00724490" w:rsidP="00724490">
            <w:pPr>
              <w:widowControl/>
              <w:spacing w:before="100" w:beforeAutospacing="1" w:after="100" w:afterAutospacing="1"/>
              <w:rPr>
                <w:rFonts w:ascii="Times New Roman" w:hAnsi="Times New Roman"/>
                <w:snapToGrid/>
                <w:color w:val="FF0000"/>
                <w:szCs w:val="24"/>
              </w:rPr>
            </w:pP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6: Chapters 17-22</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8: Chapter 32</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8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February </w:t>
            </w:r>
            <w:r>
              <w:rPr>
                <w:rFonts w:ascii="Times New Roman" w:hAnsi="Times New Roman"/>
                <w:snapToGrid/>
                <w:szCs w:val="24"/>
              </w:rPr>
              <w:t>26</w:t>
            </w:r>
            <w:r w:rsidRPr="00724490">
              <w:rPr>
                <w:rFonts w:ascii="Times New Roman" w:hAnsi="Times New Roman"/>
                <w:snapToGrid/>
                <w:szCs w:val="24"/>
                <w:vertAlign w:val="superscript"/>
              </w:rPr>
              <w:t>th</w:t>
            </w:r>
          </w:p>
          <w:p w:rsidR="00724490" w:rsidRDefault="00724490" w:rsidP="00724490">
            <w:pPr>
              <w:widowControl/>
              <w:rPr>
                <w:rFonts w:ascii="Times New Roman" w:hAnsi="Times New Roman"/>
                <w:snapToGrid/>
                <w:szCs w:val="24"/>
              </w:rPr>
            </w:pPr>
          </w:p>
          <w:p w:rsidR="0016461D" w:rsidRPr="00724490" w:rsidRDefault="0016461D" w:rsidP="00724490">
            <w:pPr>
              <w:widowControl/>
              <w:rPr>
                <w:rFonts w:ascii="Times New Roman" w:hAnsi="Times New Roman"/>
                <w:snapToGrid/>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b/>
                <w:snapToGrid/>
                <w:color w:val="FF0000"/>
                <w:szCs w:val="24"/>
              </w:rPr>
            </w:pPr>
            <w:r w:rsidRPr="00724490">
              <w:rPr>
                <w:rFonts w:ascii="Times New Roman" w:hAnsi="Times New Roman"/>
                <w:b/>
                <w:bCs/>
                <w:snapToGrid/>
                <w:color w:val="FF0000"/>
                <w:szCs w:val="24"/>
              </w:rPr>
              <w:t xml:space="preserve">Exam #2 Weeks 6-7  </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b/>
                <w:bCs/>
                <w:snapToGrid/>
                <w:color w:val="FF0000"/>
                <w:szCs w:val="24"/>
              </w:rPr>
              <w:t xml:space="preserve">Exam available from 8am to 10pm </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lastRenderedPageBreak/>
              <w:t>Week 9</w:t>
            </w:r>
          </w:p>
          <w:p w:rsidR="00724490" w:rsidRPr="00724490" w:rsidRDefault="00724490" w:rsidP="00724490">
            <w:pPr>
              <w:widowControl/>
              <w:rPr>
                <w:rFonts w:ascii="Times New Roman" w:hAnsi="Times New Roman"/>
                <w:snapToGrid/>
                <w:szCs w:val="24"/>
              </w:rPr>
            </w:pPr>
            <w:r>
              <w:rPr>
                <w:rFonts w:ascii="Times New Roman" w:hAnsi="Times New Roman"/>
                <w:snapToGrid/>
                <w:szCs w:val="24"/>
              </w:rPr>
              <w:t>March 5</w:t>
            </w:r>
            <w:r w:rsidRPr="00724490">
              <w:rPr>
                <w:rFonts w:ascii="Times New Roman" w:hAnsi="Times New Roman"/>
                <w:snapToGrid/>
                <w:szCs w:val="24"/>
              </w:rPr>
              <w:t>th</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Spring Break, no class</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10 </w:t>
            </w:r>
          </w:p>
          <w:p w:rsidR="00724490" w:rsidRPr="00724490" w:rsidRDefault="00724490" w:rsidP="00724490">
            <w:pPr>
              <w:widowControl/>
              <w:rPr>
                <w:rFonts w:ascii="Times New Roman" w:hAnsi="Times New Roman"/>
                <w:snapToGrid/>
                <w:szCs w:val="24"/>
              </w:rPr>
            </w:pPr>
            <w:r>
              <w:rPr>
                <w:rFonts w:ascii="Times New Roman" w:hAnsi="Times New Roman"/>
                <w:snapToGrid/>
                <w:szCs w:val="24"/>
              </w:rPr>
              <w:t>March 12</w:t>
            </w:r>
            <w:r w:rsidRPr="00724490">
              <w:rPr>
                <w:rFonts w:ascii="Times New Roman" w:hAnsi="Times New Roman"/>
                <w:snapToGrid/>
                <w:szCs w:val="24"/>
              </w:rPr>
              <w:t>th</w:t>
            </w:r>
          </w:p>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Case #3 due</w:t>
            </w:r>
            <w:r w:rsidR="00843F5D">
              <w:rPr>
                <w:rFonts w:ascii="Times New Roman" w:hAnsi="Times New Roman"/>
                <w:b/>
                <w:snapToGrid/>
                <w:color w:val="FF0000"/>
                <w:szCs w:val="24"/>
              </w:rPr>
              <w:t>: Endocrine</w:t>
            </w:r>
          </w:p>
          <w:p w:rsidR="00724490" w:rsidRPr="00724490" w:rsidRDefault="00724490" w:rsidP="00724490">
            <w:pPr>
              <w:widowControl/>
              <w:rPr>
                <w:rFonts w:ascii="Times New Roman" w:hAnsi="Times New Roman"/>
                <w:snapToGrid/>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Endocrine</w:t>
            </w:r>
          </w:p>
          <w:p w:rsidR="00724490" w:rsidRPr="00724490" w:rsidRDefault="00724490" w:rsidP="00724490">
            <w:pPr>
              <w:widowControl/>
              <w:spacing w:before="100" w:beforeAutospacing="1" w:after="100" w:afterAutospacing="1"/>
              <w:rPr>
                <w:rFonts w:ascii="Times New Roman" w:hAnsi="Times New Roman"/>
                <w:bCs/>
                <w:snapToGrid/>
                <w:szCs w:val="24"/>
              </w:rPr>
            </w:pPr>
            <w:r w:rsidRPr="00724490">
              <w:rPr>
                <w:rFonts w:ascii="Times New Roman" w:hAnsi="Times New Roman"/>
                <w:snapToGrid/>
                <w:szCs w:val="24"/>
              </w:rPr>
              <w:t>Gastrointestinal</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12: all</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7: all</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11 </w:t>
            </w:r>
          </w:p>
          <w:p w:rsidR="00724490" w:rsidRPr="00724490" w:rsidRDefault="00724490" w:rsidP="00724490">
            <w:pPr>
              <w:widowControl/>
              <w:rPr>
                <w:rFonts w:ascii="Times New Roman" w:hAnsi="Times New Roman"/>
                <w:b/>
                <w:snapToGrid/>
                <w:color w:val="FF0000"/>
                <w:szCs w:val="24"/>
              </w:rPr>
            </w:pPr>
            <w:r>
              <w:rPr>
                <w:rFonts w:ascii="Times New Roman" w:hAnsi="Times New Roman"/>
                <w:snapToGrid/>
                <w:szCs w:val="24"/>
              </w:rPr>
              <w:t>March 19</w:t>
            </w:r>
            <w:r w:rsidRPr="00724490">
              <w:rPr>
                <w:rFonts w:ascii="Times New Roman" w:hAnsi="Times New Roman"/>
                <w:snapToGrid/>
                <w:szCs w:val="24"/>
              </w:rPr>
              <w:t>th</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Contraception and HRT</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Osteoporosis</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13: chapter 54 and 55</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9: chapter 39</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12 </w:t>
            </w:r>
          </w:p>
          <w:p w:rsidR="00724490" w:rsidRPr="00724490" w:rsidRDefault="00724490" w:rsidP="00724490">
            <w:pPr>
              <w:widowControl/>
              <w:rPr>
                <w:rFonts w:ascii="Times New Roman" w:hAnsi="Times New Roman"/>
                <w:snapToGrid/>
                <w:szCs w:val="24"/>
              </w:rPr>
            </w:pPr>
            <w:r>
              <w:rPr>
                <w:rFonts w:ascii="Times New Roman" w:hAnsi="Times New Roman"/>
                <w:snapToGrid/>
                <w:szCs w:val="24"/>
              </w:rPr>
              <w:t>March 26</w:t>
            </w:r>
            <w:r w:rsidRPr="00724490">
              <w:rPr>
                <w:rFonts w:ascii="Times New Roman" w:hAnsi="Times New Roman"/>
                <w:snapToGrid/>
                <w:szCs w:val="24"/>
              </w:rPr>
              <w:t>th</w:t>
            </w:r>
          </w:p>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Live exam review at 7 pm</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Mental Health/</w:t>
            </w:r>
          </w:p>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ADD/Insomnia</w:t>
            </w:r>
          </w:p>
          <w:p w:rsidR="00724490" w:rsidRPr="00724490" w:rsidRDefault="00724490" w:rsidP="00724490">
            <w:pPr>
              <w:widowControl/>
              <w:spacing w:before="100" w:beforeAutospacing="1" w:after="100" w:afterAutospacing="1"/>
              <w:rPr>
                <w:rFonts w:ascii="Times New Roman" w:hAnsi="Times New Roman"/>
                <w:b/>
                <w:snapToGrid/>
                <w:color w:val="FF0000"/>
                <w:szCs w:val="24"/>
              </w:rPr>
            </w:pP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11: all</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10: chapter 41</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13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April </w:t>
            </w:r>
            <w:r>
              <w:rPr>
                <w:rFonts w:ascii="Times New Roman" w:hAnsi="Times New Roman"/>
                <w:snapToGrid/>
                <w:szCs w:val="24"/>
              </w:rPr>
              <w:t>2</w:t>
            </w:r>
            <w:r w:rsidRPr="00724490">
              <w:rPr>
                <w:rFonts w:ascii="Times New Roman" w:hAnsi="Times New Roman"/>
                <w:snapToGrid/>
                <w:szCs w:val="24"/>
                <w:vertAlign w:val="superscript"/>
              </w:rPr>
              <w:t>rd</w:t>
            </w:r>
          </w:p>
          <w:p w:rsidR="00724490" w:rsidRPr="00724490" w:rsidRDefault="00724490" w:rsidP="00724490">
            <w:pPr>
              <w:widowControl/>
              <w:rPr>
                <w:rFonts w:ascii="Times New Roman" w:hAnsi="Times New Roman"/>
                <w:b/>
                <w:snapToGrid/>
                <w:color w:val="FF0000"/>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spacing w:before="100" w:beforeAutospacing="1" w:after="100" w:afterAutospacing="1"/>
              <w:rPr>
                <w:rFonts w:ascii="Times New Roman" w:hAnsi="Times New Roman"/>
                <w:b/>
                <w:snapToGrid/>
                <w:color w:val="FF0000"/>
                <w:szCs w:val="24"/>
              </w:rPr>
            </w:pPr>
            <w:r w:rsidRPr="00724490">
              <w:rPr>
                <w:rFonts w:ascii="Times New Roman" w:hAnsi="Times New Roman"/>
                <w:b/>
                <w:snapToGrid/>
                <w:color w:val="FF0000"/>
                <w:szCs w:val="24"/>
              </w:rPr>
              <w:t>Exam #3 Week 9-11</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Available 8 am – 10 pm</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14 </w:t>
            </w:r>
          </w:p>
          <w:p w:rsid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April </w:t>
            </w:r>
            <w:r>
              <w:rPr>
                <w:rFonts w:ascii="Times New Roman" w:hAnsi="Times New Roman"/>
                <w:snapToGrid/>
                <w:szCs w:val="24"/>
              </w:rPr>
              <w:t>9</w:t>
            </w:r>
            <w:r w:rsidRPr="00724490">
              <w:rPr>
                <w:rFonts w:ascii="Times New Roman" w:hAnsi="Times New Roman"/>
                <w:snapToGrid/>
                <w:szCs w:val="24"/>
                <w:vertAlign w:val="superscript"/>
              </w:rPr>
              <w:t>th</w:t>
            </w:r>
          </w:p>
          <w:p w:rsidR="00843F5D" w:rsidRPr="00724490" w:rsidRDefault="00843F5D" w:rsidP="00724490">
            <w:pPr>
              <w:widowControl/>
              <w:rPr>
                <w:rFonts w:ascii="Times New Roman" w:hAnsi="Times New Roman"/>
                <w:b/>
                <w:snapToGrid/>
                <w:szCs w:val="24"/>
              </w:rPr>
            </w:pPr>
            <w:r w:rsidRPr="00843F5D">
              <w:rPr>
                <w:rFonts w:ascii="Times New Roman" w:hAnsi="Times New Roman"/>
                <w:b/>
                <w:snapToGrid/>
                <w:color w:val="FF0000"/>
                <w:szCs w:val="24"/>
              </w:rPr>
              <w:t>Case #4 due: Osteoarthritis</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Musculoskeletal/gout</w:t>
            </w:r>
          </w:p>
          <w:p w:rsidR="00724490" w:rsidRPr="00724490" w:rsidRDefault="00724490" w:rsidP="00724490">
            <w:pPr>
              <w:widowControl/>
              <w:spacing w:before="100" w:beforeAutospacing="1" w:after="100" w:afterAutospacing="1"/>
              <w:rPr>
                <w:rFonts w:ascii="Times New Roman" w:hAnsi="Times New Roman"/>
                <w:snapToGrid/>
                <w:szCs w:val="24"/>
              </w:rPr>
            </w:pPr>
            <w:r w:rsidRPr="00724490">
              <w:rPr>
                <w:rFonts w:ascii="Times New Roman" w:hAnsi="Times New Roman"/>
                <w:snapToGrid/>
                <w:szCs w:val="24"/>
              </w:rPr>
              <w:t>Pain management</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9: Chapters 35-38, 40</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10: Chapter 43</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15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April 1</w:t>
            </w:r>
            <w:r>
              <w:rPr>
                <w:rFonts w:ascii="Times New Roman" w:hAnsi="Times New Roman"/>
                <w:snapToGrid/>
                <w:szCs w:val="24"/>
              </w:rPr>
              <w:t>6</w:t>
            </w:r>
            <w:r w:rsidRPr="00724490">
              <w:rPr>
                <w:rFonts w:ascii="Times New Roman" w:hAnsi="Times New Roman"/>
                <w:snapToGrid/>
                <w:szCs w:val="24"/>
                <w:vertAlign w:val="superscript"/>
              </w:rPr>
              <w:t>th</w:t>
            </w:r>
          </w:p>
        </w:tc>
        <w:tc>
          <w:tcPr>
            <w:tcW w:w="1724"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Anticonvulsants,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Antiparkinson agents, Dementia, Migraines</w:t>
            </w:r>
          </w:p>
        </w:tc>
        <w:tc>
          <w:tcPr>
            <w:tcW w:w="1841"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10: Chapters 42, 44, 45, 46</w:t>
            </w:r>
          </w:p>
          <w:p w:rsidR="00724490" w:rsidRPr="00724490" w:rsidRDefault="00724490" w:rsidP="00724490">
            <w:pPr>
              <w:widowControl/>
              <w:rPr>
                <w:rFonts w:ascii="Times New Roman" w:hAnsi="Times New Roman"/>
                <w:snapToGrid/>
                <w:szCs w:val="24"/>
              </w:rPr>
            </w:pPr>
          </w:p>
          <w:p w:rsidR="00724490" w:rsidRPr="00724490" w:rsidRDefault="00724490" w:rsidP="00724490">
            <w:pPr>
              <w:widowControl/>
              <w:rPr>
                <w:rFonts w:ascii="Times New Roman" w:hAnsi="Times New Roman"/>
                <w:snapToGrid/>
                <w:szCs w:val="24"/>
              </w:rPr>
            </w:pP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 xml:space="preserve">Week 16 </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April 2</w:t>
            </w:r>
            <w:r>
              <w:rPr>
                <w:rFonts w:ascii="Times New Roman" w:hAnsi="Times New Roman"/>
                <w:snapToGrid/>
                <w:szCs w:val="24"/>
              </w:rPr>
              <w:t>3</w:t>
            </w:r>
            <w:r w:rsidRPr="00724490">
              <w:rPr>
                <w:rFonts w:ascii="Times New Roman" w:hAnsi="Times New Roman"/>
                <w:snapToGrid/>
                <w:szCs w:val="24"/>
                <w:vertAlign w:val="superscript"/>
              </w:rPr>
              <w:t>th</w:t>
            </w:r>
          </w:p>
          <w:p w:rsidR="00724490" w:rsidRPr="00724490" w:rsidRDefault="00724490" w:rsidP="00724490">
            <w:pPr>
              <w:widowControl/>
              <w:rPr>
                <w:rFonts w:ascii="Times New Roman" w:hAnsi="Times New Roman"/>
                <w:b/>
                <w:snapToGrid/>
                <w:color w:val="FF0000"/>
                <w:szCs w:val="24"/>
                <w:vertAlign w:val="superscript"/>
              </w:rPr>
            </w:pPr>
            <w:r w:rsidRPr="00724490">
              <w:rPr>
                <w:rFonts w:ascii="Times New Roman" w:hAnsi="Times New Roman"/>
                <w:b/>
                <w:snapToGrid/>
                <w:color w:val="FF0000"/>
                <w:szCs w:val="24"/>
              </w:rPr>
              <w:t>Live exam review at 7 pm</w:t>
            </w:r>
          </w:p>
        </w:tc>
        <w:tc>
          <w:tcPr>
            <w:tcW w:w="1724" w:type="pct"/>
            <w:tcBorders>
              <w:top w:val="outset" w:sz="6" w:space="0" w:color="auto"/>
              <w:left w:val="outset" w:sz="6" w:space="0" w:color="auto"/>
              <w:bottom w:val="outset" w:sz="6" w:space="0" w:color="auto"/>
              <w:right w:val="outset" w:sz="6" w:space="0" w:color="auto"/>
            </w:tcBorders>
            <w:vAlign w:val="center"/>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Genitourinary</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Health Promotion</w:t>
            </w:r>
          </w:p>
          <w:p w:rsidR="00724490" w:rsidRPr="00724490" w:rsidRDefault="00724490" w:rsidP="00724490">
            <w:pPr>
              <w:widowControl/>
              <w:rPr>
                <w:rFonts w:ascii="Times New Roman" w:hAnsi="Times New Roman"/>
                <w:snapToGrid/>
                <w:szCs w:val="24"/>
              </w:rPr>
            </w:pPr>
          </w:p>
        </w:tc>
        <w:tc>
          <w:tcPr>
            <w:tcW w:w="1841" w:type="pct"/>
            <w:tcBorders>
              <w:top w:val="outset" w:sz="6" w:space="0" w:color="auto"/>
              <w:left w:val="outset" w:sz="6" w:space="0" w:color="auto"/>
              <w:bottom w:val="outset" w:sz="6" w:space="0" w:color="auto"/>
              <w:right w:val="outset" w:sz="6" w:space="0" w:color="auto"/>
            </w:tcBorders>
            <w:vAlign w:val="center"/>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8: Chapters 33, 34</w:t>
            </w:r>
          </w:p>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Unit 15: all</w:t>
            </w:r>
          </w:p>
        </w:tc>
      </w:tr>
      <w:tr w:rsidR="00724490" w:rsidRPr="00724490"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724490" w:rsidRDefault="00724490" w:rsidP="00724490">
            <w:pPr>
              <w:widowControl/>
              <w:rPr>
                <w:rFonts w:ascii="Times New Roman" w:hAnsi="Times New Roman"/>
                <w:snapToGrid/>
                <w:szCs w:val="24"/>
              </w:rPr>
            </w:pPr>
            <w:r w:rsidRPr="00724490">
              <w:rPr>
                <w:rFonts w:ascii="Times New Roman" w:hAnsi="Times New Roman"/>
                <w:snapToGrid/>
                <w:szCs w:val="24"/>
              </w:rPr>
              <w:t>Week 17</w:t>
            </w:r>
          </w:p>
          <w:p w:rsidR="00724490" w:rsidRPr="00724490" w:rsidRDefault="00724490" w:rsidP="00724490">
            <w:pPr>
              <w:widowControl/>
              <w:rPr>
                <w:rFonts w:ascii="Times New Roman" w:hAnsi="Times New Roman"/>
                <w:snapToGrid/>
                <w:szCs w:val="24"/>
              </w:rPr>
            </w:pPr>
            <w:r>
              <w:rPr>
                <w:rFonts w:ascii="Times New Roman" w:hAnsi="Times New Roman"/>
                <w:snapToGrid/>
                <w:szCs w:val="24"/>
              </w:rPr>
              <w:t>April 30</w:t>
            </w:r>
            <w:r w:rsidRPr="00724490">
              <w:rPr>
                <w:rFonts w:ascii="Times New Roman" w:hAnsi="Times New Roman"/>
                <w:snapToGrid/>
                <w:szCs w:val="24"/>
              </w:rPr>
              <w:t>th</w:t>
            </w:r>
          </w:p>
        </w:tc>
        <w:tc>
          <w:tcPr>
            <w:tcW w:w="1724" w:type="pct"/>
            <w:tcBorders>
              <w:top w:val="outset" w:sz="6" w:space="0" w:color="auto"/>
              <w:left w:val="outset" w:sz="6" w:space="0" w:color="auto"/>
              <w:bottom w:val="outset" w:sz="6" w:space="0" w:color="auto"/>
              <w:right w:val="outset" w:sz="6" w:space="0" w:color="auto"/>
            </w:tcBorders>
            <w:vAlign w:val="center"/>
          </w:tcPr>
          <w:p w:rsidR="00724490" w:rsidRPr="00724490" w:rsidRDefault="00724490" w:rsidP="00724490">
            <w:pPr>
              <w:keepNext/>
              <w:widowControl/>
              <w:outlineLvl w:val="0"/>
              <w:rPr>
                <w:rFonts w:ascii="Times New Roman" w:hAnsi="Times New Roman"/>
                <w:b/>
                <w:bCs/>
                <w:snapToGrid/>
                <w:color w:val="FF0000"/>
                <w:szCs w:val="24"/>
              </w:rPr>
            </w:pPr>
            <w:r w:rsidRPr="00724490">
              <w:rPr>
                <w:rFonts w:ascii="Times New Roman" w:hAnsi="Times New Roman"/>
                <w:b/>
                <w:snapToGrid/>
                <w:color w:val="FF0000"/>
                <w:szCs w:val="24"/>
              </w:rPr>
              <w:t>Exam #4 Weeks 13-15</w:t>
            </w:r>
          </w:p>
        </w:tc>
        <w:tc>
          <w:tcPr>
            <w:tcW w:w="1841" w:type="pct"/>
            <w:tcBorders>
              <w:top w:val="outset" w:sz="6" w:space="0" w:color="auto"/>
              <w:left w:val="outset" w:sz="6" w:space="0" w:color="auto"/>
              <w:bottom w:val="outset" w:sz="6" w:space="0" w:color="auto"/>
              <w:right w:val="outset" w:sz="6" w:space="0" w:color="auto"/>
            </w:tcBorders>
            <w:vAlign w:val="center"/>
          </w:tcPr>
          <w:p w:rsidR="00724490" w:rsidRPr="00724490" w:rsidRDefault="00724490" w:rsidP="00724490">
            <w:pPr>
              <w:widowControl/>
              <w:rPr>
                <w:rFonts w:ascii="Times New Roman" w:hAnsi="Times New Roman"/>
                <w:b/>
                <w:snapToGrid/>
                <w:color w:val="FF0000"/>
                <w:szCs w:val="24"/>
              </w:rPr>
            </w:pPr>
            <w:r w:rsidRPr="00724490">
              <w:rPr>
                <w:rFonts w:ascii="Times New Roman" w:hAnsi="Times New Roman"/>
                <w:b/>
                <w:snapToGrid/>
                <w:color w:val="FF0000"/>
                <w:szCs w:val="24"/>
              </w:rPr>
              <w:t>Available Monday April 28</w:t>
            </w:r>
            <w:r w:rsidRPr="00724490">
              <w:rPr>
                <w:rFonts w:ascii="Times New Roman" w:hAnsi="Times New Roman"/>
                <w:b/>
                <w:snapToGrid/>
                <w:color w:val="FF0000"/>
                <w:szCs w:val="24"/>
                <w:vertAlign w:val="superscript"/>
              </w:rPr>
              <w:t>th</w:t>
            </w:r>
            <w:r w:rsidRPr="00724490">
              <w:rPr>
                <w:rFonts w:ascii="Times New Roman" w:hAnsi="Times New Roman"/>
                <w:b/>
                <w:snapToGrid/>
                <w:color w:val="FF0000"/>
                <w:szCs w:val="24"/>
              </w:rPr>
              <w:t xml:space="preserve"> from 8am-10pm. </w:t>
            </w:r>
          </w:p>
        </w:tc>
      </w:tr>
    </w:tbl>
    <w:p w:rsidR="00724490" w:rsidRPr="00724490" w:rsidRDefault="00724490" w:rsidP="00724490">
      <w:pPr>
        <w:widowControl/>
        <w:rPr>
          <w:rFonts w:ascii="Times New Roman" w:hAnsi="Times New Roman"/>
          <w:snapToGrid/>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1"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090011">
      <w:pPr>
        <w:rPr>
          <w:rFonts w:ascii="Times New Roman" w:hAnsi="Times New Roman"/>
          <w:szCs w:val="24"/>
        </w:rPr>
      </w:pPr>
      <w:r>
        <w:rPr>
          <w:rFonts w:ascii="Times New Roman" w:hAnsi="Times New Roman"/>
          <w:szCs w:val="24"/>
        </w:rPr>
        <w:t>Student Use of Social Media</w:t>
      </w:r>
      <w:bookmarkStart w:id="0" w:name="_GoBack"/>
      <w:bookmarkEnd w:id="0"/>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7835141"/>
    <w:multiLevelType w:val="singleLevel"/>
    <w:tmpl w:val="E99E00BC"/>
    <w:lvl w:ilvl="0">
      <w:start w:val="1"/>
      <w:numFmt w:val="lowerLetter"/>
      <w:lvlText w:val="%1."/>
      <w:lvlJc w:val="left"/>
      <w:pPr>
        <w:tabs>
          <w:tab w:val="num" w:pos="1800"/>
        </w:tabs>
        <w:ind w:left="1800" w:hanging="72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03432CB"/>
    <w:multiLevelType w:val="singleLevel"/>
    <w:tmpl w:val="A57C0598"/>
    <w:lvl w:ilvl="0">
      <w:start w:val="1"/>
      <w:numFmt w:val="decimal"/>
      <w:lvlText w:val="%1."/>
      <w:lvlJc w:val="left"/>
      <w:pPr>
        <w:tabs>
          <w:tab w:val="num" w:pos="1260"/>
        </w:tabs>
        <w:ind w:left="1260" w:hanging="720"/>
      </w:p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2D34BF3"/>
    <w:multiLevelType w:val="hybridMultilevel"/>
    <w:tmpl w:val="956CDD1E"/>
    <w:lvl w:ilvl="0" w:tplc="CDD02576">
      <w:start w:val="8"/>
      <w:numFmt w:val="decimal"/>
      <w:lvlText w:val="%1."/>
      <w:lvlJc w:val="left"/>
      <w:pPr>
        <w:tabs>
          <w:tab w:val="num" w:pos="1080"/>
        </w:tabs>
        <w:ind w:left="1080" w:hanging="54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5CFF62BD"/>
    <w:multiLevelType w:val="singleLevel"/>
    <w:tmpl w:val="927E715C"/>
    <w:lvl w:ilvl="0">
      <w:start w:val="1"/>
      <w:numFmt w:val="decimal"/>
      <w:lvlText w:val="%1."/>
      <w:lvlJc w:val="left"/>
      <w:pPr>
        <w:tabs>
          <w:tab w:val="num" w:pos="1260"/>
        </w:tabs>
        <w:ind w:left="1260" w:hanging="720"/>
      </w:pPr>
    </w:lvl>
  </w:abstractNum>
  <w:abstractNum w:abstractNumId="31">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2">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3">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4">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5">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6">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3"/>
  </w:num>
  <w:num w:numId="4">
    <w:abstractNumId w:val="12"/>
  </w:num>
  <w:num w:numId="5">
    <w:abstractNumId w:val="24"/>
  </w:num>
  <w:num w:numId="6">
    <w:abstractNumId w:val="15"/>
  </w:num>
  <w:num w:numId="7">
    <w:abstractNumId w:val="41"/>
  </w:num>
  <w:num w:numId="8">
    <w:abstractNumId w:val="8"/>
  </w:num>
  <w:num w:numId="9">
    <w:abstractNumId w:val="34"/>
  </w:num>
  <w:num w:numId="10">
    <w:abstractNumId w:val="22"/>
  </w:num>
  <w:num w:numId="11">
    <w:abstractNumId w:val="7"/>
  </w:num>
  <w:num w:numId="12">
    <w:abstractNumId w:val="43"/>
  </w:num>
  <w:num w:numId="13">
    <w:abstractNumId w:val="0"/>
  </w:num>
  <w:num w:numId="14">
    <w:abstractNumId w:val="27"/>
  </w:num>
  <w:num w:numId="15">
    <w:abstractNumId w:val="39"/>
  </w:num>
  <w:num w:numId="16">
    <w:abstractNumId w:val="26"/>
  </w:num>
  <w:num w:numId="17">
    <w:abstractNumId w:val="36"/>
  </w:num>
  <w:num w:numId="18">
    <w:abstractNumId w:val="42"/>
  </w:num>
  <w:num w:numId="19">
    <w:abstractNumId w:val="38"/>
  </w:num>
  <w:num w:numId="20">
    <w:abstractNumId w:val="18"/>
  </w:num>
  <w:num w:numId="21">
    <w:abstractNumId w:val="32"/>
  </w:num>
  <w:num w:numId="22">
    <w:abstractNumId w:val="35"/>
  </w:num>
  <w:num w:numId="23">
    <w:abstractNumId w:val="17"/>
  </w:num>
  <w:num w:numId="24">
    <w:abstractNumId w:val="20"/>
  </w:num>
  <w:num w:numId="25">
    <w:abstractNumId w:val="9"/>
  </w:num>
  <w:num w:numId="26">
    <w:abstractNumId w:val="2"/>
  </w:num>
  <w:num w:numId="27">
    <w:abstractNumId w:val="4"/>
  </w:num>
  <w:num w:numId="28">
    <w:abstractNumId w:val="31"/>
  </w:num>
  <w:num w:numId="29">
    <w:abstractNumId w:val="11"/>
  </w:num>
  <w:num w:numId="30">
    <w:abstractNumId w:val="3"/>
  </w:num>
  <w:num w:numId="31">
    <w:abstractNumId w:val="25"/>
  </w:num>
  <w:num w:numId="32">
    <w:abstractNumId w:val="23"/>
  </w:num>
  <w:num w:numId="33">
    <w:abstractNumId w:val="6"/>
  </w:num>
  <w:num w:numId="34">
    <w:abstractNumId w:val="13"/>
  </w:num>
  <w:num w:numId="35">
    <w:abstractNumId w:val="14"/>
  </w:num>
  <w:num w:numId="36">
    <w:abstractNumId w:val="21"/>
  </w:num>
  <w:num w:numId="37">
    <w:abstractNumId w:val="37"/>
  </w:num>
  <w:num w:numId="38">
    <w:abstractNumId w:val="10"/>
  </w:num>
  <w:num w:numId="39">
    <w:abstractNumId w:val="40"/>
  </w:num>
  <w:num w:numId="40">
    <w:abstractNumId w:val="16"/>
  </w:num>
  <w:num w:numId="41">
    <w:abstractNumId w:val="30"/>
    <w:lvlOverride w:ilvl="0">
      <w:startOverride w:val="1"/>
    </w:lvlOverride>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5119E"/>
    <w:rsid w:val="000616E7"/>
    <w:rsid w:val="00061932"/>
    <w:rsid w:val="00065FE7"/>
    <w:rsid w:val="00072CA0"/>
    <w:rsid w:val="000815A8"/>
    <w:rsid w:val="00090011"/>
    <w:rsid w:val="00090D36"/>
    <w:rsid w:val="000E4708"/>
    <w:rsid w:val="00157878"/>
    <w:rsid w:val="00162B31"/>
    <w:rsid w:val="0016461D"/>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1DBB"/>
    <w:rsid w:val="006B4396"/>
    <w:rsid w:val="006C7CAF"/>
    <w:rsid w:val="006D2A3A"/>
    <w:rsid w:val="006D4351"/>
    <w:rsid w:val="006E588D"/>
    <w:rsid w:val="006F66B0"/>
    <w:rsid w:val="007107F9"/>
    <w:rsid w:val="00714199"/>
    <w:rsid w:val="00724490"/>
    <w:rsid w:val="00740B15"/>
    <w:rsid w:val="0074386B"/>
    <w:rsid w:val="007631BC"/>
    <w:rsid w:val="007649B3"/>
    <w:rsid w:val="007715D6"/>
    <w:rsid w:val="0078056D"/>
    <w:rsid w:val="007817BD"/>
    <w:rsid w:val="00786779"/>
    <w:rsid w:val="007928DD"/>
    <w:rsid w:val="007B21D6"/>
    <w:rsid w:val="007B5DCE"/>
    <w:rsid w:val="007C2C38"/>
    <w:rsid w:val="007D25F7"/>
    <w:rsid w:val="007E287E"/>
    <w:rsid w:val="007E542E"/>
    <w:rsid w:val="00806F86"/>
    <w:rsid w:val="0082404F"/>
    <w:rsid w:val="00834441"/>
    <w:rsid w:val="00843F5D"/>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C549E"/>
    <w:rsid w:val="009D3F3D"/>
    <w:rsid w:val="009D4588"/>
    <w:rsid w:val="009E3ADD"/>
    <w:rsid w:val="009F02BC"/>
    <w:rsid w:val="009F2D04"/>
    <w:rsid w:val="009F523C"/>
    <w:rsid w:val="009F704A"/>
    <w:rsid w:val="00A028F6"/>
    <w:rsid w:val="00A048F7"/>
    <w:rsid w:val="00A07524"/>
    <w:rsid w:val="00A11C2B"/>
    <w:rsid w:val="00A72784"/>
    <w:rsid w:val="00A90BF9"/>
    <w:rsid w:val="00A97C5F"/>
    <w:rsid w:val="00AA2800"/>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BAE8C9EC-B5AB-4160-924A-6A82F1F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ss.at.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mailto:helpdesk@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78B0-F93C-442B-BB27-6AE93ACC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2</cp:revision>
  <cp:lastPrinted>2014-12-09T20:36:00Z</cp:lastPrinted>
  <dcterms:created xsi:type="dcterms:W3CDTF">2014-12-10T14:20:00Z</dcterms:created>
  <dcterms:modified xsi:type="dcterms:W3CDTF">2014-12-10T14:20:00Z</dcterms:modified>
</cp:coreProperties>
</file>